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49E" w:rsidRDefault="00D8749E" w:rsidP="0098640A">
      <w:pPr>
        <w:rPr>
          <w:b/>
          <w:sz w:val="24"/>
          <w:szCs w:val="24"/>
        </w:rPr>
      </w:pPr>
      <w:r w:rsidRPr="0040356E">
        <w:rPr>
          <w:b/>
          <w:sz w:val="24"/>
          <w:szCs w:val="24"/>
        </w:rPr>
        <w:t xml:space="preserve">Demande de remboursement </w:t>
      </w:r>
      <w:r w:rsidR="00FC2E5B">
        <w:rPr>
          <w:b/>
          <w:sz w:val="24"/>
          <w:szCs w:val="24"/>
        </w:rPr>
        <w:t>de</w:t>
      </w:r>
      <w:r w:rsidRPr="0040356E">
        <w:rPr>
          <w:b/>
          <w:sz w:val="24"/>
          <w:szCs w:val="24"/>
        </w:rPr>
        <w:t xml:space="preserve"> la cotisation </w:t>
      </w:r>
      <w:r w:rsidR="00823834">
        <w:rPr>
          <w:b/>
          <w:sz w:val="24"/>
          <w:szCs w:val="24"/>
        </w:rPr>
        <w:t xml:space="preserve">à l’ordre </w:t>
      </w:r>
      <w:r w:rsidRPr="0040356E">
        <w:rPr>
          <w:b/>
          <w:sz w:val="24"/>
          <w:szCs w:val="24"/>
        </w:rPr>
        <w:t>professionnel</w:t>
      </w:r>
    </w:p>
    <w:p w:rsidR="005A59A2" w:rsidRDefault="005A59A2" w:rsidP="005A59A2">
      <w:pPr>
        <w:rPr>
          <w:b/>
          <w:sz w:val="24"/>
          <w:szCs w:val="24"/>
        </w:rPr>
      </w:pPr>
    </w:p>
    <w:p w:rsidR="0098640A" w:rsidRDefault="005A59A2" w:rsidP="005A59A2">
      <w:pPr>
        <w:rPr>
          <w:sz w:val="24"/>
          <w:szCs w:val="24"/>
        </w:rPr>
      </w:pPr>
      <w:r w:rsidRPr="005A59A2">
        <w:rPr>
          <w:sz w:val="24"/>
          <w:szCs w:val="24"/>
        </w:rPr>
        <w:t>Suite</w:t>
      </w:r>
      <w:r>
        <w:rPr>
          <w:sz w:val="24"/>
          <w:szCs w:val="24"/>
        </w:rPr>
        <w:t xml:space="preserve"> à </w:t>
      </w:r>
      <w:r w:rsidR="002C5F2B">
        <w:rPr>
          <w:sz w:val="24"/>
          <w:szCs w:val="24"/>
        </w:rPr>
        <w:t xml:space="preserve">la </w:t>
      </w:r>
      <w:r>
        <w:rPr>
          <w:sz w:val="24"/>
          <w:szCs w:val="24"/>
        </w:rPr>
        <w:t xml:space="preserve">signature des nouvelles conventions collectives, </w:t>
      </w:r>
      <w:r w:rsidR="002C5F2B">
        <w:rPr>
          <w:sz w:val="24"/>
          <w:szCs w:val="24"/>
        </w:rPr>
        <w:t xml:space="preserve">une </w:t>
      </w:r>
      <w:r>
        <w:rPr>
          <w:sz w:val="24"/>
          <w:szCs w:val="24"/>
        </w:rPr>
        <w:t>lettre d’entente relative à la cotisation à un ordre professionnel, prévoi</w:t>
      </w:r>
      <w:r w:rsidR="002C5F2B">
        <w:rPr>
          <w:sz w:val="24"/>
          <w:szCs w:val="24"/>
        </w:rPr>
        <w:t xml:space="preserve">t </w:t>
      </w:r>
      <w:r>
        <w:rPr>
          <w:sz w:val="24"/>
          <w:szCs w:val="24"/>
        </w:rPr>
        <w:t xml:space="preserve">un </w:t>
      </w:r>
      <w:r w:rsidR="00F734CA">
        <w:rPr>
          <w:sz w:val="24"/>
          <w:szCs w:val="24"/>
        </w:rPr>
        <w:t>remboursement</w:t>
      </w:r>
      <w:r>
        <w:rPr>
          <w:sz w:val="24"/>
          <w:szCs w:val="24"/>
        </w:rPr>
        <w:t xml:space="preserve"> annuel de 50 % du montant de la cotisation</w:t>
      </w:r>
      <w:r w:rsidR="00731578">
        <w:rPr>
          <w:sz w:val="24"/>
          <w:szCs w:val="24"/>
        </w:rPr>
        <w:t xml:space="preserve"> incluant les assurances et les taxes</w:t>
      </w:r>
      <w:r>
        <w:rPr>
          <w:sz w:val="24"/>
          <w:szCs w:val="24"/>
        </w:rPr>
        <w:t xml:space="preserve"> jusqu’à un montant annuel maximal de 400 $.</w:t>
      </w:r>
    </w:p>
    <w:p w:rsidR="005A59A2" w:rsidRDefault="005A59A2" w:rsidP="005A59A2">
      <w:pPr>
        <w:rPr>
          <w:sz w:val="24"/>
          <w:szCs w:val="24"/>
        </w:rPr>
      </w:pPr>
      <w:r>
        <w:rPr>
          <w:sz w:val="24"/>
          <w:szCs w:val="24"/>
        </w:rPr>
        <w:tab/>
        <w:t>FIQ : Lettre d’entente no. 27</w:t>
      </w:r>
    </w:p>
    <w:p w:rsidR="0091585B" w:rsidRDefault="0091585B" w:rsidP="005A59A2">
      <w:pPr>
        <w:rPr>
          <w:sz w:val="24"/>
          <w:szCs w:val="24"/>
        </w:rPr>
      </w:pPr>
      <w:r>
        <w:rPr>
          <w:sz w:val="24"/>
          <w:szCs w:val="24"/>
        </w:rPr>
        <w:tab/>
        <w:t>CSN</w:t>
      </w:r>
      <w:r w:rsidR="002C5F2B">
        <w:rPr>
          <w:sz w:val="24"/>
          <w:szCs w:val="24"/>
        </w:rPr>
        <w:t> : Lettre d’entente no. 6</w:t>
      </w:r>
      <w:r w:rsidR="00D227D0">
        <w:rPr>
          <w:sz w:val="24"/>
          <w:szCs w:val="24"/>
        </w:rPr>
        <w:t>9</w:t>
      </w:r>
    </w:p>
    <w:p w:rsidR="002C5F2B" w:rsidRDefault="002C5F2B" w:rsidP="005A59A2">
      <w:pPr>
        <w:rPr>
          <w:sz w:val="24"/>
          <w:szCs w:val="24"/>
        </w:rPr>
      </w:pPr>
      <w:r>
        <w:rPr>
          <w:sz w:val="24"/>
          <w:szCs w:val="24"/>
        </w:rPr>
        <w:tab/>
        <w:t>SCFP : lettre d’entente no. 47</w:t>
      </w:r>
    </w:p>
    <w:p w:rsidR="00AC7046" w:rsidRDefault="00AC7046" w:rsidP="005A59A2">
      <w:pPr>
        <w:rPr>
          <w:sz w:val="24"/>
          <w:szCs w:val="24"/>
        </w:rPr>
      </w:pPr>
      <w:r>
        <w:rPr>
          <w:sz w:val="24"/>
          <w:szCs w:val="24"/>
        </w:rPr>
        <w:tab/>
        <w:t>SNS : Annexe TT</w:t>
      </w:r>
    </w:p>
    <w:p w:rsidR="009240CA" w:rsidRDefault="009240CA" w:rsidP="005A59A2">
      <w:pPr>
        <w:rPr>
          <w:sz w:val="24"/>
          <w:szCs w:val="24"/>
        </w:rPr>
      </w:pPr>
    </w:p>
    <w:p w:rsidR="009240CA" w:rsidRDefault="00FE0402" w:rsidP="005A59A2">
      <w:pPr>
        <w:rPr>
          <w:sz w:val="24"/>
          <w:szCs w:val="24"/>
        </w:rPr>
      </w:pPr>
      <w:r>
        <w:rPr>
          <w:sz w:val="24"/>
          <w:szCs w:val="24"/>
        </w:rPr>
        <w:t>Pour l’année financière 202</w:t>
      </w:r>
      <w:r w:rsidR="00E866C1">
        <w:rPr>
          <w:sz w:val="24"/>
          <w:szCs w:val="24"/>
        </w:rPr>
        <w:t>4</w:t>
      </w:r>
      <w:r>
        <w:rPr>
          <w:sz w:val="24"/>
          <w:szCs w:val="24"/>
        </w:rPr>
        <w:t xml:space="preserve">-2025, la personne salariée admissible peut demander le remboursement d’une partie de </w:t>
      </w:r>
      <w:r w:rsidR="00E866C1">
        <w:rPr>
          <w:sz w:val="24"/>
          <w:szCs w:val="24"/>
        </w:rPr>
        <w:t>sa</w:t>
      </w:r>
      <w:r>
        <w:rPr>
          <w:sz w:val="24"/>
          <w:szCs w:val="24"/>
        </w:rPr>
        <w:t xml:space="preserve"> cotisation à un ordre professionnel</w:t>
      </w:r>
    </w:p>
    <w:p w:rsidR="00337B64" w:rsidRPr="00563360" w:rsidRDefault="00337B64" w:rsidP="00337B64">
      <w:pPr>
        <w:rPr>
          <w:b/>
        </w:rPr>
      </w:pPr>
      <w:r w:rsidRPr="00563360">
        <w:rPr>
          <w:b/>
        </w:rPr>
        <w:t>NB : Ce remboursement est un avantage imposable au provincial donc sera ajouté à votre Relevé 1.</w:t>
      </w:r>
    </w:p>
    <w:p w:rsidR="0098640A" w:rsidRDefault="0098640A" w:rsidP="0040356E">
      <w:pPr>
        <w:rPr>
          <w:b/>
          <w:sz w:val="24"/>
          <w:szCs w:val="24"/>
        </w:rPr>
      </w:pPr>
    </w:p>
    <w:p w:rsidR="0040356E" w:rsidRPr="001E562F" w:rsidRDefault="0040356E" w:rsidP="0040356E">
      <w:pPr>
        <w:rPr>
          <w:b/>
          <w:sz w:val="24"/>
          <w:szCs w:val="24"/>
        </w:rPr>
      </w:pPr>
      <w:r w:rsidRPr="001E562F">
        <w:rPr>
          <w:b/>
          <w:sz w:val="24"/>
          <w:szCs w:val="24"/>
        </w:rPr>
        <w:t>Critère</w:t>
      </w:r>
      <w:r w:rsidR="00774B60">
        <w:rPr>
          <w:b/>
          <w:sz w:val="24"/>
          <w:szCs w:val="24"/>
        </w:rPr>
        <w:t>s</w:t>
      </w:r>
      <w:r w:rsidRPr="001E562F">
        <w:rPr>
          <w:b/>
          <w:sz w:val="24"/>
          <w:szCs w:val="24"/>
        </w:rPr>
        <w:t xml:space="preserve"> d’admissibilité</w:t>
      </w:r>
    </w:p>
    <w:p w:rsidR="001E562F" w:rsidRDefault="001E562F" w:rsidP="0040356E">
      <w:r>
        <w:t xml:space="preserve">Pour être admissible, </w:t>
      </w:r>
      <w:r w:rsidR="009154CD">
        <w:t xml:space="preserve">la personne salariée </w:t>
      </w:r>
      <w:r>
        <w:t>doit répondre aux conditions suivantes :</w:t>
      </w:r>
    </w:p>
    <w:p w:rsidR="00AC7046" w:rsidRDefault="006D78FA" w:rsidP="004D4614">
      <w:pPr>
        <w:pStyle w:val="Paragraphedeliste"/>
        <w:numPr>
          <w:ilvl w:val="0"/>
          <w:numId w:val="2"/>
        </w:numPr>
      </w:pPr>
      <w:r>
        <w:t>Appartenir à un ordre professionnel constitue une exigence à son poste</w:t>
      </w:r>
      <w:r w:rsidR="004761CF">
        <w:t xml:space="preserve">, voir la liste des titres d’emploi visés </w:t>
      </w:r>
    </w:p>
    <w:p w:rsidR="0040356E" w:rsidRDefault="0040356E" w:rsidP="004D74DF">
      <w:pPr>
        <w:pStyle w:val="Paragraphedeliste"/>
        <w:numPr>
          <w:ilvl w:val="0"/>
          <w:numId w:val="2"/>
        </w:numPr>
      </w:pPr>
      <w:r>
        <w:t>Détenir un poste à temps complet</w:t>
      </w:r>
      <w:r w:rsidR="0062482F">
        <w:t xml:space="preserve"> au moment de la demande</w:t>
      </w:r>
      <w:r w:rsidR="00A66FA6">
        <w:t xml:space="preserve"> (être titulaire du poste)</w:t>
      </w:r>
    </w:p>
    <w:p w:rsidR="00B52FBD" w:rsidRPr="00B4246D" w:rsidRDefault="00B52FBD" w:rsidP="00B52FBD">
      <w:pPr>
        <w:pStyle w:val="Paragraphedeliste"/>
      </w:pPr>
    </w:p>
    <w:p w:rsidR="009154CD" w:rsidRPr="003C2DDC" w:rsidRDefault="009154CD" w:rsidP="00E866C1">
      <w:pPr>
        <w:rPr>
          <w:b/>
        </w:rPr>
      </w:pPr>
      <w:r w:rsidRPr="003C2DDC">
        <w:rPr>
          <w:b/>
        </w:rPr>
        <w:t>Particularité</w:t>
      </w:r>
      <w:r w:rsidR="00B52FBD" w:rsidRPr="003C2DDC">
        <w:rPr>
          <w:b/>
        </w:rPr>
        <w:t> </w:t>
      </w:r>
    </w:p>
    <w:p w:rsidR="00337B64" w:rsidRDefault="00337B64" w:rsidP="009D1312">
      <w:pPr>
        <w:pStyle w:val="Paragraphedeliste"/>
        <w:ind w:left="0"/>
      </w:pPr>
    </w:p>
    <w:p w:rsidR="00337B64" w:rsidRDefault="009154CD" w:rsidP="004C49D8">
      <w:pPr>
        <w:pStyle w:val="Paragraphedeliste"/>
        <w:ind w:left="207"/>
      </w:pPr>
      <w:r>
        <w:t>S</w:t>
      </w:r>
      <w:r w:rsidR="00B52FBD">
        <w:t>i</w:t>
      </w:r>
      <w:r w:rsidR="00337B64">
        <w:t xml:space="preserve"> la</w:t>
      </w:r>
      <w:r w:rsidR="00B52FBD">
        <w:t xml:space="preserve"> personne salariée détient un titre d’emploi supérieur </w:t>
      </w:r>
      <w:r w:rsidR="00337B64">
        <w:t xml:space="preserve">à son </w:t>
      </w:r>
      <w:r w:rsidR="00B52FBD">
        <w:t>titre d’emploi de base qui prévoit qu’elle doit être membre d’un ordre professionnel, elle a également droit au remboursement de la cotisation professionnelle, bien qu’elle ne soit tenue d’être membre d’un ordre</w:t>
      </w:r>
      <w:r w:rsidR="009D1312">
        <w:t>,</w:t>
      </w:r>
      <w:r w:rsidR="00B52FBD">
        <w:t xml:space="preserve"> </w:t>
      </w:r>
      <w:r w:rsidR="00337B64">
        <w:t xml:space="preserve">cela concerne les titres </w:t>
      </w:r>
      <w:r w:rsidR="0062482F">
        <w:t xml:space="preserve">d’emplois </w:t>
      </w:r>
      <w:r w:rsidR="00337B64">
        <w:t>suivants :</w:t>
      </w:r>
      <w:r w:rsidR="00B52FBD">
        <w:t xml:space="preserve"> </w:t>
      </w:r>
    </w:p>
    <w:p w:rsidR="00337B64" w:rsidRDefault="00337B64" w:rsidP="00337B64">
      <w:pPr>
        <w:pStyle w:val="NormalWeb"/>
        <w:numPr>
          <w:ilvl w:val="0"/>
          <w:numId w:val="10"/>
        </w:numPr>
        <w:ind w:left="567"/>
        <w:jc w:val="both"/>
      </w:pPr>
      <w:r>
        <w:t>2213 - Coordonnateur technique en radiologie</w:t>
      </w:r>
    </w:p>
    <w:p w:rsidR="00337B64" w:rsidRDefault="00337B64" w:rsidP="00337B64">
      <w:pPr>
        <w:pStyle w:val="NormalWeb"/>
        <w:numPr>
          <w:ilvl w:val="0"/>
          <w:numId w:val="10"/>
        </w:numPr>
        <w:ind w:left="567"/>
        <w:jc w:val="both"/>
      </w:pPr>
      <w:r>
        <w:t>2276 - Coordonnateur technique en électrophysiologie médicale</w:t>
      </w:r>
    </w:p>
    <w:p w:rsidR="00337B64" w:rsidRDefault="00337B64" w:rsidP="00337B64">
      <w:pPr>
        <w:pStyle w:val="NormalWeb"/>
        <w:numPr>
          <w:ilvl w:val="0"/>
          <w:numId w:val="10"/>
        </w:numPr>
        <w:ind w:left="567"/>
        <w:jc w:val="both"/>
      </w:pPr>
      <w:r>
        <w:t>1236 - Assistant-chef physiothérapeute</w:t>
      </w:r>
    </w:p>
    <w:p w:rsidR="00337B64" w:rsidRDefault="00337B64" w:rsidP="00337B64">
      <w:pPr>
        <w:pStyle w:val="NormalWeb"/>
        <w:numPr>
          <w:ilvl w:val="0"/>
          <w:numId w:val="10"/>
        </w:numPr>
        <w:ind w:left="567"/>
        <w:jc w:val="both"/>
      </w:pPr>
      <w:r>
        <w:t>2219 - Assistant-chef technologue en radiologie</w:t>
      </w:r>
    </w:p>
    <w:p w:rsidR="00AC7046" w:rsidRDefault="00337B64" w:rsidP="00A46E3A">
      <w:pPr>
        <w:pStyle w:val="NormalWeb"/>
        <w:numPr>
          <w:ilvl w:val="0"/>
          <w:numId w:val="10"/>
        </w:numPr>
        <w:ind w:left="567"/>
        <w:jc w:val="both"/>
      </w:pPr>
      <w:r>
        <w:t>2236 - Assistant-chef technologue en électrophysiologie médicale</w:t>
      </w:r>
      <w:r w:rsidR="00CA75BE">
        <w:t xml:space="preserve"> </w:t>
      </w:r>
    </w:p>
    <w:p w:rsidR="00774B60" w:rsidRDefault="0098425A" w:rsidP="00AC7046">
      <w:pPr>
        <w:pStyle w:val="NormalWeb"/>
        <w:jc w:val="both"/>
      </w:pPr>
      <w:r>
        <w:lastRenderedPageBreak/>
        <w:t xml:space="preserve">La mesure </w:t>
      </w:r>
      <w:r w:rsidR="00774B60">
        <w:t>s’adresse également à la personne salariée qui bénéficie de la nouvelle mesure liée au remboursement de certains frais liés au permis de psychothérapeute. Les deux mesures sont cumulatives.</w:t>
      </w:r>
    </w:p>
    <w:p w:rsidR="009677A2" w:rsidRDefault="009677A2" w:rsidP="003C2DDC">
      <w:pPr>
        <w:pStyle w:val="NormalWeb"/>
        <w:jc w:val="both"/>
      </w:pPr>
      <w:r>
        <w:t>La personne salariée est admissible à ce remboursement lors des congés suivants :</w:t>
      </w:r>
    </w:p>
    <w:p w:rsidR="009677A2" w:rsidRDefault="009677A2" w:rsidP="009677A2">
      <w:pPr>
        <w:pStyle w:val="NormalWeb"/>
        <w:numPr>
          <w:ilvl w:val="0"/>
          <w:numId w:val="13"/>
        </w:numPr>
        <w:jc w:val="both"/>
      </w:pPr>
      <w:r>
        <w:t>Un congé sans solde et partiel sans solde</w:t>
      </w:r>
    </w:p>
    <w:p w:rsidR="009677A2" w:rsidRDefault="009677A2" w:rsidP="009677A2">
      <w:pPr>
        <w:pStyle w:val="NormalWeb"/>
        <w:numPr>
          <w:ilvl w:val="0"/>
          <w:numId w:val="13"/>
        </w:numPr>
        <w:jc w:val="both"/>
      </w:pPr>
      <w:r>
        <w:t>Un congé parental (maternité, paternité ou adoption)</w:t>
      </w:r>
    </w:p>
    <w:p w:rsidR="009677A2" w:rsidRDefault="009677A2" w:rsidP="009677A2">
      <w:pPr>
        <w:pStyle w:val="NormalWeb"/>
        <w:numPr>
          <w:ilvl w:val="0"/>
          <w:numId w:val="13"/>
        </w:numPr>
        <w:jc w:val="both"/>
      </w:pPr>
      <w:r>
        <w:t>Un congé de maladie</w:t>
      </w:r>
      <w:r w:rsidR="00774B60">
        <w:t xml:space="preserve"> etc.</w:t>
      </w:r>
    </w:p>
    <w:p w:rsidR="006D78FA" w:rsidRPr="00EE29FB" w:rsidRDefault="00EE29FB">
      <w:pPr>
        <w:rPr>
          <w:b/>
        </w:rPr>
      </w:pPr>
      <w:r w:rsidRPr="00EE29FB">
        <w:rPr>
          <w:b/>
        </w:rPr>
        <w:t>Modalité du remboursement</w:t>
      </w:r>
    </w:p>
    <w:p w:rsidR="00731578" w:rsidRDefault="00731578" w:rsidP="00731578">
      <w:pPr>
        <w:pStyle w:val="Paragraphedeliste"/>
        <w:numPr>
          <w:ilvl w:val="0"/>
          <w:numId w:val="11"/>
        </w:numPr>
      </w:pPr>
      <w:r>
        <w:t xml:space="preserve">Fournir </w:t>
      </w:r>
      <w:r w:rsidR="00E866C1">
        <w:t>la facture ainsi que la preuve de p</w:t>
      </w:r>
      <w:r>
        <w:t>aiement de la cotisation.</w:t>
      </w:r>
    </w:p>
    <w:p w:rsidR="0098640A" w:rsidRDefault="002E2136" w:rsidP="00884CEA">
      <w:pPr>
        <w:pStyle w:val="Paragraphedeliste"/>
        <w:numPr>
          <w:ilvl w:val="0"/>
          <w:numId w:val="11"/>
        </w:numPr>
      </w:pPr>
      <w:r>
        <w:t>En cas d’admissibilité en cours d’année, le remboursement est effectué au prorata du temps à travailler jusqu’à la prochaine date de paiement.</w:t>
      </w:r>
    </w:p>
    <w:p w:rsidR="00C27E2A" w:rsidRDefault="002E2136" w:rsidP="00BD2CA7">
      <w:pPr>
        <w:pStyle w:val="Paragraphedeliste"/>
        <w:numPr>
          <w:ilvl w:val="0"/>
          <w:numId w:val="11"/>
        </w:numPr>
      </w:pPr>
      <w:r>
        <w:t xml:space="preserve">Si la personne salariée a déjà bénéficié d’un remboursement dans un autre établissement du RSSS ne peut pas </w:t>
      </w:r>
      <w:r w:rsidR="00563360">
        <w:t xml:space="preserve">soumettre </w:t>
      </w:r>
      <w:r>
        <w:t>une nouvelle demande</w:t>
      </w:r>
      <w:r w:rsidR="00563360">
        <w:t xml:space="preserve"> pour la même période.</w:t>
      </w:r>
    </w:p>
    <w:p w:rsidR="00AC7046" w:rsidRDefault="00AC7046">
      <w:pPr>
        <w:rPr>
          <w:b/>
        </w:rPr>
      </w:pPr>
    </w:p>
    <w:p w:rsidR="009E464D" w:rsidRDefault="009E464D">
      <w:pPr>
        <w:rPr>
          <w:b/>
        </w:rPr>
      </w:pPr>
      <w:r>
        <w:rPr>
          <w:b/>
        </w:rPr>
        <w:t xml:space="preserve">Modalité de récupération </w:t>
      </w:r>
    </w:p>
    <w:p w:rsidR="00CB0D14" w:rsidRDefault="00702B91">
      <w:pPr>
        <w:rPr>
          <w:b/>
        </w:rPr>
      </w:pPr>
      <w:r w:rsidRPr="00702B91">
        <w:t>Si la personne salariée quitte son emploi, elle doit rembourser le montant perçu au prorata des heures qu’elle aurait eu à travailler jusqu’à la prochaine date de paiement annuel de la cotisation</w:t>
      </w:r>
      <w:r w:rsidR="00774B60">
        <w:t xml:space="preserve"> sauf si elle fait la preuve qu’elle occuper</w:t>
      </w:r>
      <w:r w:rsidR="00CA75BE">
        <w:t>a un emploi dans le RSSSS</w:t>
      </w:r>
      <w:r w:rsidR="00A5493E">
        <w:t>. Vous êtes responsable de nous aviser si vous quitter pour le réseau en cliquant</w:t>
      </w:r>
      <w:r w:rsidR="00D33129">
        <w:t xml:space="preserve"> sur le lien suivant :</w:t>
      </w:r>
      <w:r w:rsidR="00A5493E">
        <w:t xml:space="preserve"> </w:t>
      </w:r>
      <w:r w:rsidR="00AC7046" w:rsidRPr="00AC7046">
        <w:rPr>
          <w:color w:val="4472C4" w:themeColor="accent1"/>
        </w:rPr>
        <w:t>Lien</w:t>
      </w:r>
    </w:p>
    <w:p w:rsidR="00AC7046" w:rsidRDefault="00AC7046" w:rsidP="003C2DDC">
      <w:pPr>
        <w:rPr>
          <w:b/>
        </w:rPr>
      </w:pPr>
    </w:p>
    <w:p w:rsidR="00CB0D14" w:rsidRPr="003C2DDC" w:rsidRDefault="00CB0D14" w:rsidP="003C2DDC">
      <w:pPr>
        <w:rPr>
          <w:b/>
        </w:rPr>
      </w:pPr>
      <w:r w:rsidRPr="003C2DDC">
        <w:rPr>
          <w:b/>
        </w:rPr>
        <w:t>Particularité</w:t>
      </w:r>
    </w:p>
    <w:p w:rsidR="00BD5C0D" w:rsidRDefault="00BD5C0D" w:rsidP="003C2DDC">
      <w:r>
        <w:t xml:space="preserve">La personne salariée n’est pas tenue de rembourser l’employeur dans les situations suivantes : </w:t>
      </w:r>
    </w:p>
    <w:p w:rsidR="00BD5C0D" w:rsidRDefault="00CB0D14" w:rsidP="00BD5C0D">
      <w:pPr>
        <w:pStyle w:val="Paragraphedeliste"/>
        <w:numPr>
          <w:ilvl w:val="0"/>
          <w:numId w:val="11"/>
        </w:numPr>
      </w:pPr>
      <w:r>
        <w:t>Si la personne salariée change de statut en cours d’année</w:t>
      </w:r>
      <w:r w:rsidR="00BD5C0D">
        <w:t xml:space="preserve"> </w:t>
      </w:r>
      <w:r>
        <w:t xml:space="preserve">(temps </w:t>
      </w:r>
      <w:r w:rsidR="00AC7046">
        <w:t xml:space="preserve">complet à </w:t>
      </w:r>
      <w:r>
        <w:t xml:space="preserve">temps </w:t>
      </w:r>
      <w:r w:rsidR="00AC7046">
        <w:t>partiel</w:t>
      </w:r>
      <w:r>
        <w:t>)</w:t>
      </w:r>
    </w:p>
    <w:p w:rsidR="009240CA" w:rsidRPr="00AC7046" w:rsidRDefault="00BD5C0D" w:rsidP="00AB3FF6">
      <w:pPr>
        <w:pStyle w:val="Paragraphedeliste"/>
        <w:numPr>
          <w:ilvl w:val="0"/>
          <w:numId w:val="11"/>
        </w:numPr>
        <w:rPr>
          <w:b/>
        </w:rPr>
      </w:pPr>
      <w:r>
        <w:t>S</w:t>
      </w:r>
      <w:r w:rsidR="00CB0D14">
        <w:t xml:space="preserve">i </w:t>
      </w:r>
      <w:r w:rsidR="00CA75BE">
        <w:t>la personne salariée</w:t>
      </w:r>
      <w:r w:rsidR="00CB0D14">
        <w:t xml:space="preserve"> obtien</w:t>
      </w:r>
      <w:r>
        <w:t>t</w:t>
      </w:r>
      <w:r w:rsidR="00CB0D14">
        <w:t xml:space="preserve"> un autre poste qui ne </w:t>
      </w:r>
      <w:r>
        <w:t>requiert pas l’inscription à un ordre professionnel</w:t>
      </w:r>
      <w:r w:rsidR="00702B91" w:rsidRPr="00AC7046">
        <w:rPr>
          <w:b/>
        </w:rPr>
        <w:t xml:space="preserve"> </w:t>
      </w:r>
    </w:p>
    <w:p w:rsidR="00AC7046" w:rsidRDefault="00AC7046">
      <w:pPr>
        <w:rPr>
          <w:b/>
          <w:sz w:val="24"/>
          <w:szCs w:val="24"/>
        </w:rPr>
      </w:pPr>
    </w:p>
    <w:p w:rsidR="008B6CF9" w:rsidRPr="00563360" w:rsidRDefault="004761CF">
      <w:pPr>
        <w:rPr>
          <w:b/>
          <w:sz w:val="24"/>
          <w:szCs w:val="24"/>
        </w:rPr>
      </w:pPr>
      <w:bookmarkStart w:id="0" w:name="_GoBack"/>
      <w:bookmarkEnd w:id="0"/>
      <w:r w:rsidRPr="00563360">
        <w:rPr>
          <w:b/>
          <w:sz w:val="24"/>
          <w:szCs w:val="24"/>
        </w:rPr>
        <w:t>Étapes à suivre pour soumettre sa demande de remboursement</w:t>
      </w:r>
    </w:p>
    <w:p w:rsidR="00D8749E" w:rsidRPr="008A20D5" w:rsidRDefault="004761CF" w:rsidP="00086370">
      <w:pPr>
        <w:pStyle w:val="Paragraphedeliste"/>
        <w:numPr>
          <w:ilvl w:val="0"/>
          <w:numId w:val="5"/>
        </w:numPr>
      </w:pPr>
      <w:r w:rsidRPr="008A20D5">
        <w:t>Accéder au Guichet Web</w:t>
      </w:r>
    </w:p>
    <w:p w:rsidR="004761CF" w:rsidRDefault="008A20D5" w:rsidP="004761CF">
      <w:pPr>
        <w:pStyle w:val="Paragraphedeliste"/>
        <w:rPr>
          <w:sz w:val="20"/>
          <w:szCs w:val="20"/>
        </w:rPr>
      </w:pPr>
      <w:r w:rsidRPr="008A20D5">
        <w:t xml:space="preserve">Il est possible d’accéder au portail par la page d’accueil de l’Intranet CEMTL, cliquer sur l’icône </w:t>
      </w:r>
      <w:r w:rsidRPr="00C04896">
        <w:rPr>
          <w:color w:val="4472C4" w:themeColor="accent1"/>
        </w:rPr>
        <w:t>Portail employé</w:t>
      </w:r>
      <w:r w:rsidR="00A77A4F" w:rsidRPr="00C04896">
        <w:rPr>
          <w:color w:val="4472C4" w:themeColor="accent1"/>
        </w:rPr>
        <w:t xml:space="preserve"> </w:t>
      </w:r>
      <w:r w:rsidR="00A77A4F" w:rsidRPr="00A77A4F">
        <w:t xml:space="preserve">ensuite sur le lien suivant : </w:t>
      </w:r>
      <w:r w:rsidR="00A77A4F">
        <w:rPr>
          <w:rFonts w:ascii="chaloult_condnormal" w:hAnsi="chaloult_condnormal"/>
          <w:color w:val="65717C"/>
          <w:sz w:val="26"/>
          <w:szCs w:val="26"/>
          <w:shd w:val="clear" w:color="auto" w:fill="FFFFFF"/>
        </w:rPr>
        <w:t> </w:t>
      </w:r>
      <w:hyperlink r:id="rId7" w:tgtFrame="_blank" w:history="1">
        <w:r w:rsidR="00A77A4F" w:rsidRPr="00A77A4F">
          <w:rPr>
            <w:rStyle w:val="Lienhypertexte"/>
            <w:rFonts w:ascii="chaloult_condnormal" w:hAnsi="chaloult_condnormal"/>
            <w:color w:val="00ABE9"/>
            <w:sz w:val="20"/>
            <w:szCs w:val="20"/>
            <w:shd w:val="clear" w:color="auto" w:fill="FFFFFF"/>
          </w:rPr>
          <w:t>https://guichetrhweb.cemtl.rtss.qc.ca/guichetweb/</w:t>
        </w:r>
      </w:hyperlink>
    </w:p>
    <w:p w:rsidR="00A77A4F" w:rsidRDefault="00A77A4F" w:rsidP="00086370">
      <w:pPr>
        <w:pStyle w:val="Paragraphedeliste"/>
        <w:numPr>
          <w:ilvl w:val="0"/>
          <w:numId w:val="5"/>
        </w:numPr>
      </w:pPr>
      <w:r>
        <w:t>Information de connexion</w:t>
      </w:r>
    </w:p>
    <w:p w:rsidR="00086370" w:rsidRDefault="00086370" w:rsidP="00086370">
      <w:pPr>
        <w:pStyle w:val="Paragraphedeliste"/>
      </w:pPr>
      <w:r>
        <w:t xml:space="preserve">Inscrire le code d’utilisateur, le mot de passe et cliquer sur Connexion </w:t>
      </w:r>
    </w:p>
    <w:p w:rsidR="00A77A4F" w:rsidRDefault="00A77A4F" w:rsidP="00A77A4F"/>
    <w:p w:rsidR="00A77A4F" w:rsidRDefault="00086370" w:rsidP="00452A68">
      <w:pPr>
        <w:ind w:firstLine="708"/>
      </w:pPr>
      <w:r>
        <w:rPr>
          <w:noProof/>
        </w:rPr>
        <w:lastRenderedPageBreak/>
        <w:drawing>
          <wp:inline distT="0" distB="0" distL="0" distR="0" wp14:anchorId="32BD3E6B" wp14:editId="56774146">
            <wp:extent cx="2178658" cy="2081029"/>
            <wp:effectExtent l="38100" t="38100" r="31750" b="336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35529" cy="2135351"/>
                    </a:xfrm>
                    <a:prstGeom prst="rect">
                      <a:avLst/>
                    </a:prstGeom>
                    <a:ln w="28575">
                      <a:solidFill>
                        <a:schemeClr val="tx1"/>
                      </a:solidFill>
                    </a:ln>
                  </pic:spPr>
                </pic:pic>
              </a:graphicData>
            </a:graphic>
          </wp:inline>
        </w:drawing>
      </w:r>
    </w:p>
    <w:p w:rsidR="008A20D5" w:rsidRDefault="008A20D5" w:rsidP="004761CF">
      <w:pPr>
        <w:pStyle w:val="Paragraphedeliste"/>
      </w:pPr>
    </w:p>
    <w:p w:rsidR="008A20D5" w:rsidRDefault="00086370" w:rsidP="00452A68">
      <w:pPr>
        <w:pStyle w:val="Paragraphedeliste"/>
        <w:numPr>
          <w:ilvl w:val="0"/>
          <w:numId w:val="5"/>
        </w:numPr>
      </w:pPr>
      <w:r>
        <w:t>Accéder au Compte de Dépenses Web (CDDW)</w:t>
      </w:r>
    </w:p>
    <w:p w:rsidR="000A6B52" w:rsidRDefault="000A6B52" w:rsidP="000A6B52">
      <w:pPr>
        <w:pStyle w:val="Paragraphedeliste"/>
      </w:pPr>
    </w:p>
    <w:p w:rsidR="00086370" w:rsidRDefault="00086370" w:rsidP="00086370">
      <w:pPr>
        <w:pStyle w:val="Paragraphedeliste"/>
        <w:rPr>
          <w:color w:val="4472C4" w:themeColor="accent1"/>
        </w:rPr>
      </w:pPr>
      <w:r>
        <w:t xml:space="preserve">Après avoir cliqué sur </w:t>
      </w:r>
      <w:r w:rsidRPr="000A6B52">
        <w:rPr>
          <w:b/>
          <w:color w:val="4472C4" w:themeColor="accent1"/>
        </w:rPr>
        <w:t>Employé</w:t>
      </w:r>
      <w:r>
        <w:t>, la page d’</w:t>
      </w:r>
      <w:r w:rsidR="00C361DE">
        <w:t>accueil</w:t>
      </w:r>
      <w:r>
        <w:t xml:space="preserve"> du Portail s’ouvre</w:t>
      </w:r>
      <w:r w:rsidR="000A6B52">
        <w:t xml:space="preserve">. </w:t>
      </w:r>
      <w:r>
        <w:t>Cliquer sur l’</w:t>
      </w:r>
      <w:r w:rsidR="00C361DE">
        <w:t>icône</w:t>
      </w:r>
      <w:r>
        <w:t xml:space="preserve"> </w:t>
      </w:r>
      <w:r w:rsidRPr="000A6B52">
        <w:rPr>
          <w:color w:val="4472C4" w:themeColor="accent1"/>
        </w:rPr>
        <w:t>« </w:t>
      </w:r>
      <w:r w:rsidRPr="000A6B52">
        <w:rPr>
          <w:b/>
          <w:color w:val="4472C4" w:themeColor="accent1"/>
        </w:rPr>
        <w:t>Mon</w:t>
      </w:r>
      <w:r w:rsidRPr="000A6B52">
        <w:rPr>
          <w:color w:val="4472C4" w:themeColor="accent1"/>
        </w:rPr>
        <w:t xml:space="preserve"> </w:t>
      </w:r>
      <w:r w:rsidRPr="000A6B52">
        <w:rPr>
          <w:b/>
          <w:color w:val="4472C4" w:themeColor="accent1"/>
        </w:rPr>
        <w:t>dossier »</w:t>
      </w:r>
      <w:r w:rsidR="000A6B52">
        <w:rPr>
          <w:b/>
          <w:color w:val="4472C4" w:themeColor="accent1"/>
        </w:rPr>
        <w:t xml:space="preserve">, </w:t>
      </w:r>
      <w:r>
        <w:t xml:space="preserve">puis sur </w:t>
      </w:r>
      <w:r w:rsidRPr="000A6B52">
        <w:rPr>
          <w:color w:val="4472C4" w:themeColor="accent1"/>
        </w:rPr>
        <w:t>« </w:t>
      </w:r>
      <w:r w:rsidRPr="000A6B52">
        <w:rPr>
          <w:b/>
          <w:color w:val="4472C4" w:themeColor="accent1"/>
        </w:rPr>
        <w:t>Compte</w:t>
      </w:r>
      <w:r w:rsidRPr="000A6B52">
        <w:rPr>
          <w:color w:val="4472C4" w:themeColor="accent1"/>
        </w:rPr>
        <w:t xml:space="preserve"> </w:t>
      </w:r>
      <w:r w:rsidRPr="000A6B52">
        <w:rPr>
          <w:b/>
          <w:color w:val="4472C4" w:themeColor="accent1"/>
        </w:rPr>
        <w:t>de</w:t>
      </w:r>
      <w:r w:rsidRPr="000A6B52">
        <w:rPr>
          <w:color w:val="4472C4" w:themeColor="accent1"/>
        </w:rPr>
        <w:t xml:space="preserve"> </w:t>
      </w:r>
      <w:r w:rsidRPr="000A6B52">
        <w:rPr>
          <w:b/>
          <w:color w:val="4472C4" w:themeColor="accent1"/>
        </w:rPr>
        <w:t>dépenses</w:t>
      </w:r>
      <w:r w:rsidRPr="000A6B52">
        <w:rPr>
          <w:color w:val="4472C4" w:themeColor="accent1"/>
        </w:rPr>
        <w:t> »</w:t>
      </w:r>
    </w:p>
    <w:p w:rsidR="000A6B52" w:rsidRDefault="000A6B52" w:rsidP="00086370">
      <w:pPr>
        <w:pStyle w:val="Paragraphedeliste"/>
      </w:pPr>
    </w:p>
    <w:p w:rsidR="00086370" w:rsidRDefault="00C361DE" w:rsidP="00086370">
      <w:pPr>
        <w:pStyle w:val="Paragraphedeliste"/>
        <w:rPr>
          <w:noProof/>
        </w:rPr>
      </w:pPr>
      <w:r>
        <w:rPr>
          <w:noProof/>
        </w:rPr>
        <w:drawing>
          <wp:inline distT="0" distB="0" distL="0" distR="0" wp14:anchorId="1B7C2058" wp14:editId="724BDE80">
            <wp:extent cx="1519526" cy="2146853"/>
            <wp:effectExtent l="38100" t="38100" r="43180" b="4445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40268" cy="2176159"/>
                    </a:xfrm>
                    <a:prstGeom prst="rect">
                      <a:avLst/>
                    </a:prstGeom>
                    <a:ln w="28575">
                      <a:solidFill>
                        <a:schemeClr val="tx1"/>
                      </a:solidFill>
                    </a:ln>
                  </pic:spPr>
                </pic:pic>
              </a:graphicData>
            </a:graphic>
          </wp:inline>
        </w:drawing>
      </w:r>
    </w:p>
    <w:p w:rsidR="000A6B52" w:rsidRDefault="000A6B52" w:rsidP="00086370">
      <w:pPr>
        <w:pStyle w:val="Paragraphedeliste"/>
        <w:rPr>
          <w:noProof/>
        </w:rPr>
      </w:pPr>
    </w:p>
    <w:p w:rsidR="000A6B52" w:rsidRDefault="00C361DE" w:rsidP="00452A68">
      <w:r>
        <w:t xml:space="preserve">Un nouvel onglet s’ouvrira à votre navigateur internet. </w:t>
      </w:r>
    </w:p>
    <w:p w:rsidR="000A6B52" w:rsidRDefault="000A6B52" w:rsidP="00086370">
      <w:pPr>
        <w:pStyle w:val="Paragraphedeliste"/>
      </w:pPr>
    </w:p>
    <w:p w:rsidR="00F74938" w:rsidRDefault="00F74938" w:rsidP="00086370">
      <w:pPr>
        <w:pStyle w:val="Paragraphedeliste"/>
      </w:pPr>
    </w:p>
    <w:p w:rsidR="00C361DE" w:rsidRPr="00F74938" w:rsidRDefault="00563360" w:rsidP="00452A68">
      <w:r>
        <w:t xml:space="preserve">Cliquer sur </w:t>
      </w:r>
      <w:r w:rsidR="000A6B52" w:rsidRPr="00807C97">
        <w:rPr>
          <w:b/>
          <w:color w:val="4472C4" w:themeColor="accent1"/>
        </w:rPr>
        <w:t>« Profil</w:t>
      </w:r>
      <w:r w:rsidR="00C361DE" w:rsidRPr="00807C97">
        <w:rPr>
          <w:b/>
          <w:color w:val="4472C4" w:themeColor="accent1"/>
        </w:rPr>
        <w:t> »</w:t>
      </w:r>
      <w:r w:rsidR="00F74938">
        <w:rPr>
          <w:color w:val="4472C4" w:themeColor="accent1"/>
        </w:rPr>
        <w:t xml:space="preserve"> </w:t>
      </w:r>
      <w:r w:rsidR="00F74938" w:rsidRPr="00F74938">
        <w:t>pour le mettre à jour</w:t>
      </w:r>
    </w:p>
    <w:p w:rsidR="00C361DE" w:rsidRDefault="00C361DE" w:rsidP="00086370">
      <w:pPr>
        <w:pStyle w:val="Paragraphedeliste"/>
      </w:pPr>
      <w:r>
        <w:rPr>
          <w:noProof/>
        </w:rPr>
        <w:lastRenderedPageBreak/>
        <w:drawing>
          <wp:inline distT="0" distB="0" distL="0" distR="0" wp14:anchorId="3891598B" wp14:editId="183813B6">
            <wp:extent cx="5494351" cy="2382677"/>
            <wp:effectExtent l="38100" t="38100" r="30480" b="3683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49758" cy="2406705"/>
                    </a:xfrm>
                    <a:prstGeom prst="rect">
                      <a:avLst/>
                    </a:prstGeom>
                    <a:ln w="28575">
                      <a:solidFill>
                        <a:schemeClr val="tx1"/>
                      </a:solidFill>
                    </a:ln>
                  </pic:spPr>
                </pic:pic>
              </a:graphicData>
            </a:graphic>
          </wp:inline>
        </w:drawing>
      </w:r>
    </w:p>
    <w:p w:rsidR="003C2DDC" w:rsidRDefault="003C2DDC" w:rsidP="00086370">
      <w:pPr>
        <w:pStyle w:val="Paragraphedeliste"/>
      </w:pPr>
    </w:p>
    <w:p w:rsidR="00C361DE" w:rsidRDefault="00C361DE" w:rsidP="00563360">
      <w:r>
        <w:t>Compléter et\ou valider les informations personnelles.</w:t>
      </w:r>
    </w:p>
    <w:p w:rsidR="00C361DE" w:rsidRDefault="00C361DE" w:rsidP="00563360">
      <w:r>
        <w:t xml:space="preserve">Il est important de cocher les deux premières cases au bas du tableau soit : </w:t>
      </w:r>
    </w:p>
    <w:p w:rsidR="00C361DE" w:rsidRDefault="00C361DE" w:rsidP="008B6CF9">
      <w:pPr>
        <w:pStyle w:val="Paragraphedeliste"/>
        <w:numPr>
          <w:ilvl w:val="0"/>
          <w:numId w:val="11"/>
        </w:numPr>
      </w:pPr>
      <w:r>
        <w:t>M’aviser lorsqu’un compte de dépenses est approuvé (par le service de la paie)</w:t>
      </w:r>
    </w:p>
    <w:p w:rsidR="00C361DE" w:rsidRDefault="00C361DE" w:rsidP="008B6CF9">
      <w:pPr>
        <w:pStyle w:val="Paragraphedeliste"/>
        <w:numPr>
          <w:ilvl w:val="0"/>
          <w:numId w:val="11"/>
        </w:numPr>
      </w:pPr>
      <w:r>
        <w:t>M’aviser lorsqu’un compte de dépenses est refusé</w:t>
      </w:r>
    </w:p>
    <w:p w:rsidR="00C361DE" w:rsidRDefault="00C361DE" w:rsidP="00563360">
      <w:r>
        <w:t>Un courriel sera transmis à l’adresse que vous indiquerez à cette étape. Veuillez</w:t>
      </w:r>
      <w:r w:rsidR="000A6B52">
        <w:t xml:space="preserve"> «</w:t>
      </w:r>
      <w:r w:rsidR="000A6B52" w:rsidRPr="00C361DE">
        <w:rPr>
          <w:color w:val="4472C4" w:themeColor="accent1"/>
        </w:rPr>
        <w:t xml:space="preserve"> Sauvegarder</w:t>
      </w:r>
      <w:r w:rsidR="000A6B52">
        <w:t xml:space="preserve"> »</w:t>
      </w:r>
      <w:r>
        <w:t xml:space="preserve"> l’information. </w:t>
      </w:r>
    </w:p>
    <w:p w:rsidR="00C361DE" w:rsidRDefault="00C361DE" w:rsidP="00807C97">
      <w:pPr>
        <w:ind w:firstLine="708"/>
      </w:pPr>
      <w:r>
        <w:rPr>
          <w:noProof/>
        </w:rPr>
        <w:drawing>
          <wp:inline distT="0" distB="0" distL="0" distR="0" wp14:anchorId="5133ED2E" wp14:editId="6F44ABFD">
            <wp:extent cx="5542748" cy="2152043"/>
            <wp:effectExtent l="38100" t="38100" r="39370" b="387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65000" cy="2160683"/>
                    </a:xfrm>
                    <a:prstGeom prst="rect">
                      <a:avLst/>
                    </a:prstGeom>
                    <a:ln w="28575">
                      <a:solidFill>
                        <a:schemeClr val="tx1"/>
                      </a:solidFill>
                    </a:ln>
                  </pic:spPr>
                </pic:pic>
              </a:graphicData>
            </a:graphic>
          </wp:inline>
        </w:drawing>
      </w:r>
    </w:p>
    <w:p w:rsidR="00C361DE" w:rsidRPr="008A20D5" w:rsidRDefault="00C361DE" w:rsidP="00C361DE"/>
    <w:p w:rsidR="002843F9" w:rsidRPr="000A6B52" w:rsidRDefault="000A6B52">
      <w:pPr>
        <w:rPr>
          <w:b/>
        </w:rPr>
      </w:pPr>
      <w:r w:rsidRPr="000A6B52">
        <w:rPr>
          <w:b/>
        </w:rPr>
        <w:t xml:space="preserve">Important : </w:t>
      </w:r>
    </w:p>
    <w:p w:rsidR="000A6B52" w:rsidRDefault="000A6B52">
      <w:r>
        <w:t>Le profil personnel doit être configuré avec les informations exactes.</w:t>
      </w:r>
    </w:p>
    <w:p w:rsidR="00EE29FB" w:rsidRDefault="00EE29FB"/>
    <w:p w:rsidR="00563360" w:rsidRDefault="00563360"/>
    <w:p w:rsidR="00452A68" w:rsidRDefault="00452A68"/>
    <w:p w:rsidR="00807C97" w:rsidRPr="00452A68" w:rsidRDefault="009E464D" w:rsidP="00563360">
      <w:pPr>
        <w:rPr>
          <w:b/>
        </w:rPr>
      </w:pPr>
      <w:r w:rsidRPr="00452A68">
        <w:rPr>
          <w:b/>
        </w:rPr>
        <w:lastRenderedPageBreak/>
        <w:t>Pour compléter le compte de dépenses</w:t>
      </w:r>
    </w:p>
    <w:p w:rsidR="00452A68" w:rsidRDefault="00807C97" w:rsidP="00452A68">
      <w:pPr>
        <w:ind w:left="708"/>
        <w:rPr>
          <w:b/>
          <w:color w:val="4472C4" w:themeColor="accent1"/>
        </w:rPr>
      </w:pPr>
      <w:r>
        <w:t>C</w:t>
      </w:r>
      <w:r w:rsidR="00835A62">
        <w:t>liquer</w:t>
      </w:r>
      <w:r>
        <w:t xml:space="preserve"> de nouveau sur l’onglet </w:t>
      </w:r>
      <w:r w:rsidR="00835A62" w:rsidRPr="00563360">
        <w:rPr>
          <w:b/>
          <w:color w:val="4472C4" w:themeColor="accent1"/>
        </w:rPr>
        <w:t>« </w:t>
      </w:r>
      <w:r>
        <w:rPr>
          <w:b/>
          <w:color w:val="4472C4" w:themeColor="accent1"/>
        </w:rPr>
        <w:t xml:space="preserve">Employé </w:t>
      </w:r>
      <w:r w:rsidR="00835A62" w:rsidRPr="00563360">
        <w:rPr>
          <w:b/>
          <w:color w:val="4472C4" w:themeColor="accent1"/>
        </w:rPr>
        <w:t>»</w:t>
      </w:r>
      <w:r w:rsidRPr="00807C97">
        <w:t xml:space="preserve">, puis sur </w:t>
      </w:r>
      <w:r w:rsidRPr="00807C97">
        <w:rPr>
          <w:b/>
          <w:color w:val="4472C4" w:themeColor="accent1"/>
        </w:rPr>
        <w:t>« </w:t>
      </w:r>
      <w:r>
        <w:rPr>
          <w:b/>
          <w:color w:val="4472C4" w:themeColor="accent1"/>
        </w:rPr>
        <w:t>Comptes de dépenses »</w:t>
      </w:r>
    </w:p>
    <w:p w:rsidR="00807C97" w:rsidRDefault="00807C97" w:rsidP="00452A68">
      <w:pPr>
        <w:ind w:left="708"/>
        <w:rPr>
          <w:b/>
          <w:color w:val="4472C4" w:themeColor="accent1"/>
        </w:rPr>
      </w:pPr>
      <w:r>
        <w:rPr>
          <w:noProof/>
        </w:rPr>
        <w:drawing>
          <wp:inline distT="0" distB="0" distL="0" distR="0" wp14:anchorId="03CF378F" wp14:editId="3F930B31">
            <wp:extent cx="5427268" cy="2353586"/>
            <wp:effectExtent l="38100" t="38100" r="40640" b="4699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63243" cy="2369187"/>
                    </a:xfrm>
                    <a:prstGeom prst="rect">
                      <a:avLst/>
                    </a:prstGeom>
                    <a:ln w="28575">
                      <a:solidFill>
                        <a:schemeClr val="tx1"/>
                      </a:solidFill>
                    </a:ln>
                  </pic:spPr>
                </pic:pic>
              </a:graphicData>
            </a:graphic>
          </wp:inline>
        </w:drawing>
      </w:r>
    </w:p>
    <w:p w:rsidR="00452A68" w:rsidRDefault="00452A68" w:rsidP="00452A68">
      <w:pPr>
        <w:ind w:left="708"/>
        <w:rPr>
          <w:b/>
          <w:color w:val="4472C4" w:themeColor="accent1"/>
        </w:rPr>
      </w:pPr>
    </w:p>
    <w:p w:rsidR="00452A68" w:rsidRPr="00452A68" w:rsidRDefault="00452A68" w:rsidP="00452A68">
      <w:r w:rsidRPr="00452A68">
        <w:t>La fenêtre suivant</w:t>
      </w:r>
      <w:r>
        <w:t>e</w:t>
      </w:r>
      <w:r w:rsidRPr="00452A68">
        <w:t xml:space="preserve"> apparaîtra</w:t>
      </w:r>
      <w:r>
        <w:t xml:space="preserve">. Cliquer sur </w:t>
      </w:r>
      <w:r w:rsidRPr="00452A68">
        <w:rPr>
          <w:b/>
          <w:color w:val="4472C4" w:themeColor="accent1"/>
        </w:rPr>
        <w:t>« Ajouter »</w:t>
      </w:r>
    </w:p>
    <w:p w:rsidR="00807C97" w:rsidRPr="00563360" w:rsidRDefault="00807C97" w:rsidP="00563360">
      <w:pPr>
        <w:rPr>
          <w:b/>
          <w:color w:val="4472C4" w:themeColor="accent1"/>
        </w:rPr>
      </w:pPr>
    </w:p>
    <w:p w:rsidR="00835A62" w:rsidRDefault="00835A62" w:rsidP="00452A68">
      <w:pPr>
        <w:ind w:firstLine="708"/>
      </w:pPr>
      <w:r>
        <w:rPr>
          <w:noProof/>
        </w:rPr>
        <w:drawing>
          <wp:inline distT="0" distB="0" distL="0" distR="0" wp14:anchorId="0BF4FD5D" wp14:editId="3FCF5779">
            <wp:extent cx="5481296" cy="2639833"/>
            <wp:effectExtent l="38100" t="38100" r="43815" b="4635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13641" cy="2655410"/>
                    </a:xfrm>
                    <a:prstGeom prst="rect">
                      <a:avLst/>
                    </a:prstGeom>
                    <a:ln w="28575">
                      <a:solidFill>
                        <a:schemeClr val="tx1"/>
                      </a:solidFill>
                    </a:ln>
                  </pic:spPr>
                </pic:pic>
              </a:graphicData>
            </a:graphic>
          </wp:inline>
        </w:drawing>
      </w:r>
    </w:p>
    <w:p w:rsidR="00452A68" w:rsidRDefault="00452A68" w:rsidP="00452A68"/>
    <w:p w:rsidR="00452A68" w:rsidRDefault="00452A68" w:rsidP="00452A68">
      <w:r>
        <w:t>La fenêtre suivante appara</w:t>
      </w:r>
      <w:r w:rsidR="003543B9">
        <w:t>î</w:t>
      </w:r>
      <w:r>
        <w:t>tra</w:t>
      </w:r>
    </w:p>
    <w:p w:rsidR="00452A68" w:rsidRDefault="00452A68" w:rsidP="00452A68">
      <w:pPr>
        <w:ind w:firstLine="708"/>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1143690</wp:posOffset>
                </wp:positionH>
                <wp:positionV relativeFrom="paragraph">
                  <wp:posOffset>1191398</wp:posOffset>
                </wp:positionV>
                <wp:extent cx="556563" cy="135172"/>
                <wp:effectExtent l="0" t="0" r="0" b="0"/>
                <wp:wrapNone/>
                <wp:docPr id="15" name="Rectangle 15"/>
                <wp:cNvGraphicFramePr/>
                <a:graphic xmlns:a="http://schemas.openxmlformats.org/drawingml/2006/main">
                  <a:graphicData uri="http://schemas.microsoft.com/office/word/2010/wordprocessingShape">
                    <wps:wsp>
                      <wps:cNvSpPr/>
                      <wps:spPr>
                        <a:xfrm>
                          <a:off x="0" y="0"/>
                          <a:ext cx="556563" cy="13517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400D6" id="Rectangle 15" o:spid="_x0000_s1026" style="position:absolute;margin-left:90.05pt;margin-top:93.8pt;width:43.8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" fillcolor="white [3212]" stroked="f" strokeweight="1pt"/>
            </w:pict>
          </mc:Fallback>
        </mc:AlternateContent>
      </w:r>
      <w:r>
        <w:rPr>
          <w:noProof/>
        </w:rPr>
        <w:drawing>
          <wp:inline distT="0" distB="0" distL="0" distR="0" wp14:anchorId="4CFB534E" wp14:editId="60B7AFE6">
            <wp:extent cx="5550011" cy="2156634"/>
            <wp:effectExtent l="38100" t="38100" r="31750" b="3429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34191" cy="2189345"/>
                    </a:xfrm>
                    <a:prstGeom prst="rect">
                      <a:avLst/>
                    </a:prstGeom>
                    <a:ln w="28575">
                      <a:solidFill>
                        <a:schemeClr val="tx1"/>
                      </a:solidFill>
                    </a:ln>
                  </pic:spPr>
                </pic:pic>
              </a:graphicData>
            </a:graphic>
          </wp:inline>
        </w:drawing>
      </w:r>
    </w:p>
    <w:p w:rsidR="00452A68" w:rsidRDefault="00452A68" w:rsidP="00452A68">
      <w:pPr>
        <w:ind w:firstLine="708"/>
      </w:pPr>
    </w:p>
    <w:p w:rsidR="008E032B" w:rsidRDefault="008E032B" w:rsidP="00835A62"/>
    <w:p w:rsidR="00835A62" w:rsidRPr="00F74938" w:rsidRDefault="00835A62" w:rsidP="00563360">
      <w:pPr>
        <w:rPr>
          <w:b/>
        </w:rPr>
      </w:pPr>
      <w:r w:rsidRPr="00F74938">
        <w:rPr>
          <w:b/>
        </w:rPr>
        <w:t>Onglet Information générale </w:t>
      </w:r>
    </w:p>
    <w:p w:rsidR="00835A62" w:rsidRDefault="00835A62" w:rsidP="008B6CF9">
      <w:r>
        <w:t>Choisir le bon groupe (</w:t>
      </w:r>
      <w:r w:rsidR="003543B9">
        <w:t>Unité administrative</w:t>
      </w:r>
      <w:r>
        <w:t>\</w:t>
      </w:r>
      <w:r w:rsidR="003543B9">
        <w:t>Sous service</w:t>
      </w:r>
      <w:r>
        <w:t>) dans la barre déroulante.</w:t>
      </w:r>
    </w:p>
    <w:p w:rsidR="00683AA4" w:rsidRDefault="00835A62" w:rsidP="008B6CF9">
      <w:pPr>
        <w:rPr>
          <w:b/>
        </w:rPr>
      </w:pPr>
      <w:r>
        <w:t xml:space="preserve">Dans le champ </w:t>
      </w:r>
      <w:r w:rsidRPr="00835A62">
        <w:rPr>
          <w:b/>
          <w:color w:val="4472C4" w:themeColor="accent1"/>
        </w:rPr>
        <w:t>« Description »</w:t>
      </w:r>
      <w:r w:rsidRPr="00835A62">
        <w:rPr>
          <w:color w:val="4472C4" w:themeColor="accent1"/>
        </w:rPr>
        <w:t xml:space="preserve"> </w:t>
      </w:r>
      <w:r>
        <w:t xml:space="preserve">inscrire </w:t>
      </w:r>
      <w:r w:rsidR="00CA75BE">
        <w:rPr>
          <w:b/>
        </w:rPr>
        <w:t xml:space="preserve">Ordre professionnel </w:t>
      </w:r>
      <w:r w:rsidRPr="00835A62">
        <w:rPr>
          <w:b/>
        </w:rPr>
        <w:t xml:space="preserve">– </w:t>
      </w:r>
      <w:r w:rsidR="00CA75BE">
        <w:rPr>
          <w:b/>
        </w:rPr>
        <w:t xml:space="preserve">No. </w:t>
      </w:r>
      <w:proofErr w:type="gramStart"/>
      <w:r w:rsidRPr="00835A62">
        <w:rPr>
          <w:b/>
        </w:rPr>
        <w:t>titre</w:t>
      </w:r>
      <w:proofErr w:type="gramEnd"/>
      <w:r w:rsidRPr="00835A62">
        <w:rPr>
          <w:b/>
        </w:rPr>
        <w:t xml:space="preserve"> d’emploi.</w:t>
      </w:r>
    </w:p>
    <w:p w:rsidR="00683AA4" w:rsidRDefault="00683AA4" w:rsidP="00683AA4">
      <w:pPr>
        <w:rPr>
          <w:b/>
        </w:rPr>
      </w:pPr>
    </w:p>
    <w:p w:rsidR="00835A62" w:rsidRPr="00F74938" w:rsidRDefault="00835A62" w:rsidP="00F74938">
      <w:pPr>
        <w:rPr>
          <w:b/>
        </w:rPr>
      </w:pPr>
      <w:r w:rsidRPr="00F74938">
        <w:rPr>
          <w:b/>
        </w:rPr>
        <w:t xml:space="preserve"> Onglet </w:t>
      </w:r>
      <w:r w:rsidR="00683AA4" w:rsidRPr="00F74938">
        <w:rPr>
          <w:b/>
        </w:rPr>
        <w:t>Dépenses </w:t>
      </w:r>
    </w:p>
    <w:p w:rsidR="001B4CAA" w:rsidRDefault="00683AA4" w:rsidP="00F74938">
      <w:r w:rsidRPr="00F74938">
        <w:t>Cliquer sur</w:t>
      </w:r>
      <w:r w:rsidRPr="00F74938">
        <w:rPr>
          <w:b/>
        </w:rPr>
        <w:t xml:space="preserve"> </w:t>
      </w:r>
      <w:r w:rsidRPr="00F74938">
        <w:rPr>
          <w:b/>
          <w:color w:val="4472C4" w:themeColor="accent1"/>
        </w:rPr>
        <w:t xml:space="preserve">« Ajouter » </w:t>
      </w:r>
      <w:r w:rsidRPr="00683AA4">
        <w:t>pour ouvrir la fenêtre suivante</w:t>
      </w:r>
    </w:p>
    <w:p w:rsidR="00683AA4" w:rsidRPr="00683AA4" w:rsidRDefault="00B231F4" w:rsidP="00F74938">
      <w:r w:rsidRPr="00F74938">
        <w:t>Dans le champ</w:t>
      </w:r>
      <w:r w:rsidRPr="00F74938">
        <w:rPr>
          <w:b/>
        </w:rPr>
        <w:t xml:space="preserve"> </w:t>
      </w:r>
      <w:r w:rsidRPr="00F74938">
        <w:rPr>
          <w:b/>
          <w:color w:val="4472C4" w:themeColor="accent1"/>
        </w:rPr>
        <w:t>« Date »</w:t>
      </w:r>
      <w:r w:rsidRPr="00F74938">
        <w:rPr>
          <w:b/>
        </w:rPr>
        <w:t xml:space="preserve">, </w:t>
      </w:r>
      <w:r w:rsidRPr="00F74938">
        <w:t>s</w:t>
      </w:r>
      <w:r w:rsidR="00683AA4" w:rsidRPr="00F74938">
        <w:t>aisir la date</w:t>
      </w:r>
      <w:r w:rsidR="00DE1D46" w:rsidRPr="00F74938">
        <w:t xml:space="preserve"> </w:t>
      </w:r>
      <w:r w:rsidRPr="00F74938">
        <w:t>du jour</w:t>
      </w:r>
      <w:r w:rsidRPr="00F74938">
        <w:rPr>
          <w:b/>
        </w:rPr>
        <w:t xml:space="preserve"> </w:t>
      </w:r>
    </w:p>
    <w:p w:rsidR="00683AA4" w:rsidRPr="00B231F4" w:rsidRDefault="00683AA4" w:rsidP="003C2DDC">
      <w:r>
        <w:t xml:space="preserve">Utiliser la liste déroulante du champ </w:t>
      </w:r>
      <w:r w:rsidR="00B231F4" w:rsidRPr="00F74938">
        <w:rPr>
          <w:b/>
          <w:color w:val="4472C4" w:themeColor="accent1"/>
        </w:rPr>
        <w:t xml:space="preserve">« </w:t>
      </w:r>
      <w:r w:rsidRPr="00F74938">
        <w:rPr>
          <w:b/>
          <w:color w:val="4472C4" w:themeColor="accent1"/>
        </w:rPr>
        <w:t>Type de dépense</w:t>
      </w:r>
      <w:r w:rsidR="00B231F4" w:rsidRPr="00F74938">
        <w:rPr>
          <w:b/>
          <w:color w:val="4472C4" w:themeColor="accent1"/>
        </w:rPr>
        <w:t> »</w:t>
      </w:r>
      <w:r>
        <w:t xml:space="preserve"> pour sélectionner </w:t>
      </w:r>
      <w:r w:rsidR="00B231F4" w:rsidRPr="00B231F4">
        <w:t>COTISATION ORDRE PROFESIONNEL</w:t>
      </w:r>
    </w:p>
    <w:p w:rsidR="00683AA4" w:rsidRPr="00DE1D46" w:rsidRDefault="00DE1D46" w:rsidP="003C2DDC">
      <w:r w:rsidRPr="00DE1D46">
        <w:t xml:space="preserve">Dans le champ </w:t>
      </w:r>
      <w:r w:rsidRPr="00F74938">
        <w:rPr>
          <w:b/>
          <w:color w:val="4472C4" w:themeColor="accent1"/>
        </w:rPr>
        <w:t>« No pièce justificative »</w:t>
      </w:r>
      <w:r w:rsidRPr="00DE1D46">
        <w:t>, inscrire l</w:t>
      </w:r>
      <w:r w:rsidR="00A96BC6">
        <w:t xml:space="preserve">e numéro de la facture si existante </w:t>
      </w:r>
      <w:r w:rsidR="007A4BBA">
        <w:t>sinon</w:t>
      </w:r>
      <w:r w:rsidR="003543B9">
        <w:t xml:space="preserve"> </w:t>
      </w:r>
      <w:r w:rsidR="007A4BBA">
        <w:t>inscrire l</w:t>
      </w:r>
      <w:r w:rsidRPr="00DE1D46">
        <w:t xml:space="preserve">a date d’émission </w:t>
      </w:r>
      <w:r w:rsidR="007A4BBA">
        <w:t>de la facture</w:t>
      </w:r>
      <w:r w:rsidRPr="00DE1D46">
        <w:t>.</w:t>
      </w:r>
    </w:p>
    <w:p w:rsidR="00DE1D46" w:rsidRPr="00DE1D46" w:rsidRDefault="00DE1D46" w:rsidP="003C2DDC">
      <w:r w:rsidRPr="00DE1D46">
        <w:t xml:space="preserve">Dans le champ </w:t>
      </w:r>
      <w:r w:rsidRPr="00F74938">
        <w:rPr>
          <w:b/>
          <w:color w:val="4472C4" w:themeColor="accent1"/>
        </w:rPr>
        <w:t>«</w:t>
      </w:r>
      <w:r>
        <w:t> </w:t>
      </w:r>
      <w:r w:rsidRPr="00F74938">
        <w:rPr>
          <w:b/>
          <w:color w:val="4472C4" w:themeColor="accent1"/>
        </w:rPr>
        <w:t>Description »</w:t>
      </w:r>
      <w:r w:rsidRPr="00DE1D46">
        <w:t>, inscrire le nom de l’ordre professionnel et la période de référence</w:t>
      </w:r>
    </w:p>
    <w:p w:rsidR="00DE1D46" w:rsidRPr="00DE1D46" w:rsidRDefault="00DE1D46" w:rsidP="003C2DDC">
      <w:r w:rsidRPr="00DE1D46">
        <w:t xml:space="preserve">Dans le Champ </w:t>
      </w:r>
      <w:r w:rsidRPr="00F74938">
        <w:rPr>
          <w:b/>
          <w:color w:val="4472C4" w:themeColor="accent1"/>
        </w:rPr>
        <w:t>« Projet »</w:t>
      </w:r>
      <w:r w:rsidRPr="00DE1D46">
        <w:t>, ne rien sélectionner</w:t>
      </w:r>
    </w:p>
    <w:p w:rsidR="00DE1D46" w:rsidRPr="00DE1D46" w:rsidRDefault="00DE1D46" w:rsidP="003C2DDC">
      <w:r w:rsidRPr="00DE1D46">
        <w:t>Dans le Champ </w:t>
      </w:r>
      <w:r w:rsidRPr="00F74938">
        <w:rPr>
          <w:b/>
          <w:color w:val="4472C4" w:themeColor="accent1"/>
        </w:rPr>
        <w:t>« Quantité »</w:t>
      </w:r>
      <w:r w:rsidRPr="00DE1D46">
        <w:t>, inscrire le chiffre 1.</w:t>
      </w:r>
    </w:p>
    <w:p w:rsidR="00DE1D46" w:rsidRPr="00DE1D46" w:rsidRDefault="00F74938" w:rsidP="003C2DDC">
      <w:r>
        <w:t>Dans le</w:t>
      </w:r>
      <w:r w:rsidR="00DE1D46" w:rsidRPr="00DE1D46">
        <w:t xml:space="preserve"> champ </w:t>
      </w:r>
      <w:r w:rsidR="00DE1D46" w:rsidRPr="00F74938">
        <w:rPr>
          <w:b/>
          <w:color w:val="4472C4" w:themeColor="accent1"/>
        </w:rPr>
        <w:t>« Prix unitaire »</w:t>
      </w:r>
      <w:r w:rsidR="00DE1D46" w:rsidRPr="00DE1D46">
        <w:t>, inscrire le montant équivalent à 50 % du paiement total ne pas dépasser le maximum de 400 $\année.</w:t>
      </w:r>
    </w:p>
    <w:p w:rsidR="00DE1D46" w:rsidRPr="00DE1D46" w:rsidRDefault="00DE1D46" w:rsidP="003C2DDC">
      <w:r w:rsidRPr="00DE1D46">
        <w:t xml:space="preserve">Cliquer sur </w:t>
      </w:r>
      <w:r w:rsidRPr="00F74938">
        <w:rPr>
          <w:b/>
          <w:color w:val="4472C4" w:themeColor="accent1"/>
        </w:rPr>
        <w:t>« Sauvegarder »</w:t>
      </w:r>
    </w:p>
    <w:p w:rsidR="00683AA4" w:rsidRDefault="00D33129" w:rsidP="003543B9">
      <w:pPr>
        <w:ind w:firstLine="708"/>
        <w:rPr>
          <w:b/>
        </w:rPr>
      </w:pPr>
      <w:r>
        <w:rPr>
          <w:noProof/>
        </w:rPr>
        <w:lastRenderedPageBreak/>
        <w:drawing>
          <wp:inline distT="0" distB="0" distL="0" distR="0" wp14:anchorId="68479396" wp14:editId="4D5193A2">
            <wp:extent cx="5517931" cy="3324486"/>
            <wp:effectExtent l="38100" t="38100" r="45085" b="476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72970" cy="3357647"/>
                    </a:xfrm>
                    <a:prstGeom prst="rect">
                      <a:avLst/>
                    </a:prstGeom>
                    <a:ln w="28575">
                      <a:solidFill>
                        <a:schemeClr val="tx1"/>
                      </a:solidFill>
                    </a:ln>
                  </pic:spPr>
                </pic:pic>
              </a:graphicData>
            </a:graphic>
          </wp:inline>
        </w:drawing>
      </w:r>
    </w:p>
    <w:p w:rsidR="00B231F4" w:rsidRDefault="00B231F4" w:rsidP="00683AA4">
      <w:pPr>
        <w:rPr>
          <w:b/>
        </w:rPr>
      </w:pPr>
    </w:p>
    <w:p w:rsidR="00B231F4" w:rsidRPr="00F74938" w:rsidRDefault="00B231F4" w:rsidP="00F74938">
      <w:pPr>
        <w:rPr>
          <w:b/>
        </w:rPr>
      </w:pPr>
      <w:r w:rsidRPr="00F74938">
        <w:rPr>
          <w:b/>
        </w:rPr>
        <w:t>Onglet Justification et Statuts (Historique)</w:t>
      </w:r>
    </w:p>
    <w:p w:rsidR="00B231F4" w:rsidRDefault="00B231F4" w:rsidP="008B6CF9">
      <w:r w:rsidRPr="00B231F4">
        <w:t xml:space="preserve">Il n’y a rien à inscrire dans ces </w:t>
      </w:r>
      <w:r>
        <w:t xml:space="preserve">deux </w:t>
      </w:r>
      <w:r w:rsidRPr="00B231F4">
        <w:t>onglet</w:t>
      </w:r>
      <w:r>
        <w:t>s</w:t>
      </w:r>
    </w:p>
    <w:p w:rsidR="00D47AC6" w:rsidRPr="00D47AC6" w:rsidRDefault="00D47AC6" w:rsidP="00B231F4">
      <w:pPr>
        <w:pStyle w:val="Paragraphedeliste"/>
        <w:ind w:left="1440"/>
        <w:rPr>
          <w:b/>
          <w:color w:val="4472C4" w:themeColor="accent1"/>
        </w:rPr>
      </w:pPr>
    </w:p>
    <w:p w:rsidR="00A15F97" w:rsidRDefault="00B231F4" w:rsidP="00F74938">
      <w:r w:rsidRPr="00F74938">
        <w:rPr>
          <w:b/>
        </w:rPr>
        <w:t>Onglet Pièces jointes</w:t>
      </w:r>
    </w:p>
    <w:p w:rsidR="00B231F4" w:rsidRPr="00D47AC6" w:rsidRDefault="00A15F97" w:rsidP="003C2DDC">
      <w:r>
        <w:t>Pou</w:t>
      </w:r>
      <w:r w:rsidR="007A4BBA">
        <w:t xml:space="preserve">r </w:t>
      </w:r>
      <w:r>
        <w:t>joindre votre facture et l</w:t>
      </w:r>
      <w:r w:rsidR="007A4BBA">
        <w:t xml:space="preserve">a preuve </w:t>
      </w:r>
      <w:r w:rsidR="00B231F4" w:rsidRPr="00D47AC6">
        <w:t>de paiement</w:t>
      </w:r>
      <w:r>
        <w:t xml:space="preserve">, cliquer sur </w:t>
      </w:r>
      <w:r w:rsidRPr="00F74938">
        <w:rPr>
          <w:b/>
          <w:color w:val="4472C4" w:themeColor="accent1"/>
        </w:rPr>
        <w:t>« Ajoute</w:t>
      </w:r>
      <w:r w:rsidR="007A4BBA">
        <w:rPr>
          <w:b/>
          <w:color w:val="4472C4" w:themeColor="accent1"/>
        </w:rPr>
        <w:t>r</w:t>
      </w:r>
      <w:r w:rsidRPr="00F74938">
        <w:rPr>
          <w:b/>
          <w:color w:val="4472C4" w:themeColor="accent1"/>
        </w:rPr>
        <w:t> ».</w:t>
      </w:r>
      <w:r w:rsidRPr="00F74938">
        <w:rPr>
          <w:color w:val="4472C4" w:themeColor="accent1"/>
        </w:rPr>
        <w:t xml:space="preserve"> </w:t>
      </w:r>
      <w:r>
        <w:t xml:space="preserve">Seul le fichier PDF ou Photo </w:t>
      </w:r>
      <w:r w:rsidR="007A4BBA">
        <w:t>sont</w:t>
      </w:r>
      <w:r>
        <w:t xml:space="preserve"> accepté</w:t>
      </w:r>
      <w:r w:rsidR="007A4BBA">
        <w:t>s</w:t>
      </w:r>
      <w:r>
        <w:t xml:space="preserve">.  </w:t>
      </w:r>
    </w:p>
    <w:p w:rsidR="00835A62" w:rsidRDefault="00835A62" w:rsidP="00835A62"/>
    <w:p w:rsidR="000A6B52" w:rsidRDefault="00A15F97" w:rsidP="000A6B52">
      <w:pPr>
        <w:pStyle w:val="Paragraphedeliste"/>
      </w:pPr>
      <w:r>
        <w:rPr>
          <w:noProof/>
        </w:rPr>
        <w:drawing>
          <wp:inline distT="0" distB="0" distL="0" distR="0" wp14:anchorId="5932ED3E" wp14:editId="15D76787">
            <wp:extent cx="5547608" cy="1764665"/>
            <wp:effectExtent l="38100" t="38100" r="34290" b="4508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3153" cy="1785514"/>
                    </a:xfrm>
                    <a:prstGeom prst="rect">
                      <a:avLst/>
                    </a:prstGeom>
                    <a:ln w="28575">
                      <a:solidFill>
                        <a:schemeClr val="tx1"/>
                      </a:solidFill>
                    </a:ln>
                  </pic:spPr>
                </pic:pic>
              </a:graphicData>
            </a:graphic>
          </wp:inline>
        </w:drawing>
      </w:r>
    </w:p>
    <w:p w:rsidR="00A15F97" w:rsidRDefault="00A15F97" w:rsidP="000A6B52">
      <w:pPr>
        <w:pStyle w:val="Paragraphedeliste"/>
      </w:pPr>
    </w:p>
    <w:p w:rsidR="00A15F97" w:rsidRDefault="00A15F97" w:rsidP="009E464D">
      <w:r>
        <w:t xml:space="preserve">Cliquer sur </w:t>
      </w:r>
      <w:r w:rsidRPr="009E464D">
        <w:rPr>
          <w:b/>
          <w:color w:val="4472C4" w:themeColor="accent1"/>
        </w:rPr>
        <w:t>« Sauvegarder »</w:t>
      </w:r>
      <w:r w:rsidRPr="009E464D">
        <w:rPr>
          <w:color w:val="4472C4" w:themeColor="accent1"/>
        </w:rPr>
        <w:t xml:space="preserve"> </w:t>
      </w:r>
      <w:r>
        <w:t>pour enregistrer la réclamation</w:t>
      </w:r>
    </w:p>
    <w:p w:rsidR="00A15F97" w:rsidRDefault="00A15F97" w:rsidP="009E464D">
      <w:r>
        <w:lastRenderedPageBreak/>
        <w:t xml:space="preserve">Cliquer sur </w:t>
      </w:r>
      <w:r w:rsidRPr="009E464D">
        <w:rPr>
          <w:b/>
          <w:color w:val="4472C4" w:themeColor="accent1"/>
        </w:rPr>
        <w:t xml:space="preserve">« Soumettre » </w:t>
      </w:r>
      <w:r>
        <w:t>pour envoyer le compte de dépenses à l’approbation et un numéro de compte sera généré.</w:t>
      </w:r>
    </w:p>
    <w:p w:rsidR="00A15F97" w:rsidRDefault="00A15F97" w:rsidP="00A15F97">
      <w:pPr>
        <w:pStyle w:val="Paragraphedeliste"/>
        <w:ind w:left="1440"/>
      </w:pPr>
    </w:p>
    <w:p w:rsidR="00A15F97" w:rsidRPr="00A15F97" w:rsidRDefault="00A15F97" w:rsidP="00A15F97">
      <w:pPr>
        <w:rPr>
          <w:b/>
          <w:color w:val="4472C4" w:themeColor="accent1"/>
        </w:rPr>
      </w:pPr>
      <w:r>
        <w:t xml:space="preserve">Une fois le compte soumis, il n’est plus possible de le modifier ou le supprimer. Si vous désirez valider les étapes du traitement de votre compte, vous trouverez l’information sous l’onglet </w:t>
      </w:r>
      <w:r w:rsidRPr="00A15F97">
        <w:rPr>
          <w:b/>
          <w:color w:val="4472C4" w:themeColor="accent1"/>
        </w:rPr>
        <w:t>« Statuts Historique) »</w:t>
      </w:r>
    </w:p>
    <w:p w:rsidR="006D4DC0" w:rsidRPr="006D4DC0" w:rsidRDefault="00A15F97" w:rsidP="006D4DC0">
      <w:pPr>
        <w:spacing w:before="100" w:beforeAutospacing="1" w:after="100" w:afterAutospacing="1" w:line="240" w:lineRule="auto"/>
        <w:rPr>
          <w:rFonts w:ascii="chaloult_condnormal" w:hAnsi="chaloult_condnormal"/>
          <w:color w:val="65717C"/>
          <w:sz w:val="26"/>
          <w:szCs w:val="26"/>
        </w:rPr>
      </w:pPr>
      <w:r>
        <w:t>Pour plus d’information sur l’utilisation détaillée du Compte de dépenses Web, consultez notre page</w:t>
      </w:r>
      <w:r w:rsidR="006D4DC0">
        <w:t xml:space="preserve"> via le lien suivant : </w:t>
      </w:r>
      <w:hyperlink r:id="rId16" w:history="1">
        <w:r w:rsidR="006D4DC0" w:rsidRPr="006D4DC0">
          <w:rPr>
            <w:rStyle w:val="Lienhypertexte"/>
            <w:rFonts w:ascii="chaloult_condnormal" w:hAnsi="chaloult_condnormal"/>
            <w:color w:val="00ABE9"/>
            <w:sz w:val="20"/>
            <w:szCs w:val="20"/>
          </w:rPr>
          <w:t>Service de la paie</w:t>
        </w:r>
      </w:hyperlink>
    </w:p>
    <w:p w:rsidR="00EE29FB" w:rsidRDefault="00EE29FB"/>
    <w:p w:rsidR="00373AA9" w:rsidRDefault="00373AA9">
      <w:pPr>
        <w:rPr>
          <w:b/>
        </w:rPr>
      </w:pPr>
    </w:p>
    <w:p w:rsidR="003F3EB5" w:rsidRPr="00A350EE" w:rsidRDefault="00A350EE">
      <w:pPr>
        <w:rPr>
          <w:b/>
        </w:rPr>
      </w:pPr>
      <w:r w:rsidRPr="00A350EE">
        <w:rPr>
          <w:b/>
        </w:rPr>
        <w:t>Responsabilité du gestionnaire</w:t>
      </w:r>
    </w:p>
    <w:p w:rsidR="00074707" w:rsidRDefault="001F7D71">
      <w:r>
        <w:t>Le g</w:t>
      </w:r>
      <w:r w:rsidR="00A350EE">
        <w:t>estionnaire doit s’assurer que les conditions d’admissibilité au remboursement de la cotisation à l’ordre professionnel suivantes soient respectées avant d’approuver le compte de dépense</w:t>
      </w:r>
    </w:p>
    <w:p w:rsidR="008B6CF9" w:rsidRDefault="008B6CF9" w:rsidP="008B6CF9">
      <w:pPr>
        <w:pStyle w:val="Paragraphedeliste"/>
        <w:numPr>
          <w:ilvl w:val="0"/>
          <w:numId w:val="11"/>
        </w:numPr>
      </w:pPr>
      <w:r>
        <w:t>L’employé est détenteur d’un poste à temp complet.</w:t>
      </w:r>
    </w:p>
    <w:p w:rsidR="000565A5" w:rsidRDefault="00A350EE" w:rsidP="000C71B6">
      <w:pPr>
        <w:pStyle w:val="Paragraphedeliste"/>
        <w:numPr>
          <w:ilvl w:val="0"/>
          <w:numId w:val="11"/>
        </w:numPr>
      </w:pPr>
      <w:r>
        <w:t>L’appartenance à un ordre professionnel constitue une exigence de poste</w:t>
      </w:r>
      <w:r w:rsidR="000565A5">
        <w:t xml:space="preserve"> ou la personne salariée détient un titre d’emploi supérieur au titre d’emploi de base (vérifier la liste disponible sur Intranet) </w:t>
      </w:r>
      <w:r w:rsidR="000565A5" w:rsidRPr="000565A5">
        <w:rPr>
          <w:color w:val="FF0000"/>
        </w:rPr>
        <w:t xml:space="preserve">lien vers Intranet </w:t>
      </w:r>
      <w:r w:rsidR="00485CC5">
        <w:rPr>
          <w:color w:val="FF0000"/>
        </w:rPr>
        <w:t>Mireille</w:t>
      </w:r>
    </w:p>
    <w:p w:rsidR="000565A5" w:rsidRDefault="000565A5" w:rsidP="000565A5">
      <w:pPr>
        <w:pStyle w:val="Paragraphedeliste"/>
        <w:numPr>
          <w:ilvl w:val="0"/>
          <w:numId w:val="11"/>
        </w:numPr>
      </w:pPr>
      <w:r>
        <w:t>S’assurer de la conformité des pièces justificatives</w:t>
      </w:r>
      <w:r w:rsidR="00FF2FC9">
        <w:t> : Facture et preuve de paiement</w:t>
      </w:r>
    </w:p>
    <w:p w:rsidR="00074707" w:rsidRDefault="00074707"/>
    <w:p w:rsidR="003F3EB5" w:rsidRDefault="003F3EB5" w:rsidP="00373AA9">
      <w:pPr>
        <w:ind w:firstLine="708"/>
      </w:pPr>
    </w:p>
    <w:p w:rsidR="003F3EB5" w:rsidRDefault="003F3EB5"/>
    <w:p w:rsidR="003F3EB5" w:rsidRDefault="003F3EB5"/>
    <w:p w:rsidR="003F3EB5" w:rsidRDefault="003F3EB5"/>
    <w:p w:rsidR="00EE29FB" w:rsidRDefault="00EE29FB"/>
    <w:sectPr w:rsidR="00EE29FB">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40A" w:rsidRDefault="0098640A" w:rsidP="0098640A">
      <w:pPr>
        <w:spacing w:after="0" w:line="240" w:lineRule="auto"/>
      </w:pPr>
      <w:r>
        <w:separator/>
      </w:r>
    </w:p>
  </w:endnote>
  <w:endnote w:type="continuationSeparator" w:id="0">
    <w:p w:rsidR="0098640A" w:rsidRDefault="0098640A" w:rsidP="00986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aloult_condnorma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40A" w:rsidRDefault="0098640A" w:rsidP="0098640A">
      <w:pPr>
        <w:spacing w:after="0" w:line="240" w:lineRule="auto"/>
      </w:pPr>
      <w:r>
        <w:separator/>
      </w:r>
    </w:p>
  </w:footnote>
  <w:footnote w:type="continuationSeparator" w:id="0">
    <w:p w:rsidR="0098640A" w:rsidRDefault="0098640A" w:rsidP="009864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4514"/>
    <w:multiLevelType w:val="hybridMultilevel"/>
    <w:tmpl w:val="73643CD8"/>
    <w:lvl w:ilvl="0" w:tplc="7AA81D3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2065016"/>
    <w:multiLevelType w:val="hybridMultilevel"/>
    <w:tmpl w:val="467EBB98"/>
    <w:lvl w:ilvl="0" w:tplc="E8E8A89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E436521"/>
    <w:multiLevelType w:val="hybridMultilevel"/>
    <w:tmpl w:val="10FAAD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FCA7148"/>
    <w:multiLevelType w:val="hybridMultilevel"/>
    <w:tmpl w:val="44E460AC"/>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4" w15:restartNumberingAfterBreak="0">
    <w:nsid w:val="232328E6"/>
    <w:multiLevelType w:val="hybridMultilevel"/>
    <w:tmpl w:val="EE40B756"/>
    <w:lvl w:ilvl="0" w:tplc="BA60A5E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380F51CB"/>
    <w:multiLevelType w:val="multilevel"/>
    <w:tmpl w:val="1EA89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D436CC"/>
    <w:multiLevelType w:val="multilevel"/>
    <w:tmpl w:val="F62C8AF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15110BD"/>
    <w:multiLevelType w:val="hybridMultilevel"/>
    <w:tmpl w:val="140A42B0"/>
    <w:lvl w:ilvl="0" w:tplc="D59696FE">
      <w:start w:val="2213"/>
      <w:numFmt w:val="bullet"/>
      <w:lvlText w:val=""/>
      <w:lvlJc w:val="left"/>
      <w:pPr>
        <w:ind w:left="720" w:hanging="360"/>
      </w:pPr>
      <w:rPr>
        <w:rFonts w:ascii="Symbol" w:eastAsiaTheme="minorHAnsi"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43C79BE"/>
    <w:multiLevelType w:val="hybridMultilevel"/>
    <w:tmpl w:val="2ABCD7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F63348F"/>
    <w:multiLevelType w:val="hybridMultilevel"/>
    <w:tmpl w:val="72966562"/>
    <w:lvl w:ilvl="0" w:tplc="583C6F32">
      <w:start w:val="3"/>
      <w:numFmt w:val="bullet"/>
      <w:lvlText w:val=""/>
      <w:lvlJc w:val="left"/>
      <w:pPr>
        <w:ind w:left="720" w:hanging="360"/>
      </w:pPr>
      <w:rPr>
        <w:rFonts w:ascii="Symbol" w:eastAsiaTheme="minorHAnsi" w:hAnsi="Symbol"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31F6630"/>
    <w:multiLevelType w:val="hybridMultilevel"/>
    <w:tmpl w:val="EA545FEE"/>
    <w:lvl w:ilvl="0" w:tplc="B6986E54">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693B41BC"/>
    <w:multiLevelType w:val="multilevel"/>
    <w:tmpl w:val="F0DA9E9C"/>
    <w:lvl w:ilvl="0">
      <w:start w:val="1"/>
      <w:numFmt w:val="bullet"/>
      <w:lvlText w:val=""/>
      <w:lvlJc w:val="left"/>
      <w:pPr>
        <w:tabs>
          <w:tab w:val="num" w:pos="3240"/>
        </w:tabs>
        <w:ind w:left="3240" w:hanging="360"/>
      </w:pPr>
      <w:rPr>
        <w:rFonts w:ascii="Symbol" w:hAnsi="Symbol" w:hint="default"/>
        <w:color w:val="auto"/>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12" w15:restartNumberingAfterBreak="0">
    <w:nsid w:val="6A9A55C4"/>
    <w:multiLevelType w:val="hybridMultilevel"/>
    <w:tmpl w:val="74A4176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C152163"/>
    <w:multiLevelType w:val="hybridMultilevel"/>
    <w:tmpl w:val="347251B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7"/>
  </w:num>
  <w:num w:numId="4">
    <w:abstractNumId w:val="0"/>
  </w:num>
  <w:num w:numId="5">
    <w:abstractNumId w:val="4"/>
  </w:num>
  <w:num w:numId="6">
    <w:abstractNumId w:val="10"/>
  </w:num>
  <w:num w:numId="7">
    <w:abstractNumId w:val="6"/>
  </w:num>
  <w:num w:numId="8">
    <w:abstractNumId w:val="9"/>
  </w:num>
  <w:num w:numId="9">
    <w:abstractNumId w:val="5"/>
  </w:num>
  <w:num w:numId="10">
    <w:abstractNumId w:val="11"/>
  </w:num>
  <w:num w:numId="11">
    <w:abstractNumId w:val="8"/>
  </w:num>
  <w:num w:numId="12">
    <w:abstractNumId w:val="13"/>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3F9"/>
    <w:rsid w:val="000411DA"/>
    <w:rsid w:val="000565A5"/>
    <w:rsid w:val="00074707"/>
    <w:rsid w:val="00086370"/>
    <w:rsid w:val="000A6B52"/>
    <w:rsid w:val="000B303C"/>
    <w:rsid w:val="001858B4"/>
    <w:rsid w:val="00186BA1"/>
    <w:rsid w:val="00187DD5"/>
    <w:rsid w:val="00196402"/>
    <w:rsid w:val="001B4CAA"/>
    <w:rsid w:val="001E562F"/>
    <w:rsid w:val="001F7D71"/>
    <w:rsid w:val="00216F34"/>
    <w:rsid w:val="002675A0"/>
    <w:rsid w:val="002843F9"/>
    <w:rsid w:val="002C5F2B"/>
    <w:rsid w:val="002E2136"/>
    <w:rsid w:val="00337B64"/>
    <w:rsid w:val="003543B9"/>
    <w:rsid w:val="003719EB"/>
    <w:rsid w:val="00373AA9"/>
    <w:rsid w:val="003C2DDC"/>
    <w:rsid w:val="003F3EB5"/>
    <w:rsid w:val="0040356E"/>
    <w:rsid w:val="00441264"/>
    <w:rsid w:val="00452A68"/>
    <w:rsid w:val="004761CF"/>
    <w:rsid w:val="00485CC5"/>
    <w:rsid w:val="004C49D8"/>
    <w:rsid w:val="004D74DF"/>
    <w:rsid w:val="004E4A84"/>
    <w:rsid w:val="0053331C"/>
    <w:rsid w:val="00563360"/>
    <w:rsid w:val="00591E3E"/>
    <w:rsid w:val="005A59A2"/>
    <w:rsid w:val="0062482F"/>
    <w:rsid w:val="00683AA4"/>
    <w:rsid w:val="006D4DC0"/>
    <w:rsid w:val="006D78FA"/>
    <w:rsid w:val="00702B91"/>
    <w:rsid w:val="00731578"/>
    <w:rsid w:val="00774B60"/>
    <w:rsid w:val="007A4BBA"/>
    <w:rsid w:val="00807C97"/>
    <w:rsid w:val="00823834"/>
    <w:rsid w:val="00835A62"/>
    <w:rsid w:val="00837D6D"/>
    <w:rsid w:val="008A20D5"/>
    <w:rsid w:val="008B6CF9"/>
    <w:rsid w:val="008E032B"/>
    <w:rsid w:val="009154CD"/>
    <w:rsid w:val="0091585B"/>
    <w:rsid w:val="009240CA"/>
    <w:rsid w:val="009301B4"/>
    <w:rsid w:val="009677A2"/>
    <w:rsid w:val="0098425A"/>
    <w:rsid w:val="0098640A"/>
    <w:rsid w:val="009D1312"/>
    <w:rsid w:val="009D2A42"/>
    <w:rsid w:val="009E464D"/>
    <w:rsid w:val="00A15F97"/>
    <w:rsid w:val="00A251E0"/>
    <w:rsid w:val="00A350EE"/>
    <w:rsid w:val="00A5493E"/>
    <w:rsid w:val="00A66FA6"/>
    <w:rsid w:val="00A77A4F"/>
    <w:rsid w:val="00A96BC6"/>
    <w:rsid w:val="00AC7046"/>
    <w:rsid w:val="00B10F80"/>
    <w:rsid w:val="00B1655D"/>
    <w:rsid w:val="00B231F4"/>
    <w:rsid w:val="00B337D8"/>
    <w:rsid w:val="00B4246D"/>
    <w:rsid w:val="00B52FBD"/>
    <w:rsid w:val="00B84ABF"/>
    <w:rsid w:val="00B92836"/>
    <w:rsid w:val="00BC5B91"/>
    <w:rsid w:val="00BD5C0D"/>
    <w:rsid w:val="00C04896"/>
    <w:rsid w:val="00C11AD5"/>
    <w:rsid w:val="00C27E2A"/>
    <w:rsid w:val="00C361DE"/>
    <w:rsid w:val="00CA75BE"/>
    <w:rsid w:val="00CB0D14"/>
    <w:rsid w:val="00D227D0"/>
    <w:rsid w:val="00D238D0"/>
    <w:rsid w:val="00D33129"/>
    <w:rsid w:val="00D47AC6"/>
    <w:rsid w:val="00D617F3"/>
    <w:rsid w:val="00D8749E"/>
    <w:rsid w:val="00D87B3A"/>
    <w:rsid w:val="00DE1D46"/>
    <w:rsid w:val="00E24D8C"/>
    <w:rsid w:val="00E651EE"/>
    <w:rsid w:val="00E81310"/>
    <w:rsid w:val="00E85E9D"/>
    <w:rsid w:val="00E866C1"/>
    <w:rsid w:val="00EE29FB"/>
    <w:rsid w:val="00EE61CB"/>
    <w:rsid w:val="00F02C57"/>
    <w:rsid w:val="00F25DBF"/>
    <w:rsid w:val="00F734CA"/>
    <w:rsid w:val="00F74938"/>
    <w:rsid w:val="00F76465"/>
    <w:rsid w:val="00FC2E5B"/>
    <w:rsid w:val="00FE0402"/>
    <w:rsid w:val="00FE3C9B"/>
    <w:rsid w:val="00FF2FC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32A9F"/>
  <w15:chartTrackingRefBased/>
  <w15:docId w15:val="{B6BA4904-0545-4EF2-BB45-390705F3A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5B91"/>
    <w:pPr>
      <w:ind w:left="720"/>
      <w:contextualSpacing/>
    </w:pPr>
  </w:style>
  <w:style w:type="paragraph" w:customStyle="1" w:styleId="Default">
    <w:name w:val="Default"/>
    <w:rsid w:val="00B52FBD"/>
    <w:pPr>
      <w:autoSpaceDE w:val="0"/>
      <w:autoSpaceDN w:val="0"/>
      <w:adjustRightInd w:val="0"/>
      <w:spacing w:after="0" w:line="240" w:lineRule="auto"/>
    </w:pPr>
    <w:rPr>
      <w:rFonts w:ascii="Symbol" w:hAnsi="Symbol" w:cs="Symbol"/>
      <w:color w:val="000000"/>
      <w:sz w:val="24"/>
      <w:szCs w:val="24"/>
    </w:rPr>
  </w:style>
  <w:style w:type="character" w:styleId="Lienhypertexte">
    <w:name w:val="Hyperlink"/>
    <w:basedOn w:val="Policepardfaut"/>
    <w:uiPriority w:val="99"/>
    <w:semiHidden/>
    <w:unhideWhenUsed/>
    <w:rsid w:val="00A77A4F"/>
    <w:rPr>
      <w:color w:val="0000FF"/>
      <w:u w:val="single"/>
    </w:rPr>
  </w:style>
  <w:style w:type="character" w:styleId="Lienhypertextesuivivisit">
    <w:name w:val="FollowedHyperlink"/>
    <w:basedOn w:val="Policepardfaut"/>
    <w:uiPriority w:val="99"/>
    <w:semiHidden/>
    <w:unhideWhenUsed/>
    <w:rsid w:val="00A77A4F"/>
    <w:rPr>
      <w:color w:val="954F72" w:themeColor="followedHyperlink"/>
      <w:u w:val="single"/>
    </w:rPr>
  </w:style>
  <w:style w:type="paragraph" w:customStyle="1" w:styleId="active">
    <w:name w:val="active"/>
    <w:basedOn w:val="Normal"/>
    <w:rsid w:val="006D4DC0"/>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NormalWeb">
    <w:name w:val="Normal (Web)"/>
    <w:basedOn w:val="Normal"/>
    <w:uiPriority w:val="99"/>
    <w:semiHidden/>
    <w:unhideWhenUsed/>
    <w:rsid w:val="00337B64"/>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En-tte">
    <w:name w:val="header"/>
    <w:basedOn w:val="Normal"/>
    <w:link w:val="En-tteCar"/>
    <w:uiPriority w:val="99"/>
    <w:unhideWhenUsed/>
    <w:rsid w:val="0098640A"/>
    <w:pPr>
      <w:tabs>
        <w:tab w:val="center" w:pos="4703"/>
        <w:tab w:val="right" w:pos="9406"/>
      </w:tabs>
      <w:spacing w:after="0" w:line="240" w:lineRule="auto"/>
    </w:pPr>
  </w:style>
  <w:style w:type="character" w:customStyle="1" w:styleId="En-tteCar">
    <w:name w:val="En-tête Car"/>
    <w:basedOn w:val="Policepardfaut"/>
    <w:link w:val="En-tte"/>
    <w:uiPriority w:val="99"/>
    <w:rsid w:val="0098640A"/>
  </w:style>
  <w:style w:type="paragraph" w:styleId="Pieddepage">
    <w:name w:val="footer"/>
    <w:basedOn w:val="Normal"/>
    <w:link w:val="PieddepageCar"/>
    <w:uiPriority w:val="99"/>
    <w:unhideWhenUsed/>
    <w:rsid w:val="0098640A"/>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986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63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uichetrhweb.cemtl.rtss.qc.ca/guichetweb/"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xtranetcemtl.cemtl.rtss.qc.ca/services-administratifs-et-de-soutien/ressources-financieres-et-paie/service-de-la-paie-de-la-direction-adjointe-aux-operations-financier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1403</TotalTime>
  <Pages>8</Pages>
  <Words>1083</Words>
  <Characters>5961</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CIUSSS de l'Est-de-l'Ile-de-Montreal</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Dalila Merouki (CIUSSS EMTL)</dc:creator>
  <cp:keywords/>
  <dc:description/>
  <cp:lastModifiedBy>Dalila Merouki (CIUSSS EMTL)</cp:lastModifiedBy>
  <cp:revision>35</cp:revision>
  <dcterms:created xsi:type="dcterms:W3CDTF">2025-02-17T12:55:00Z</dcterms:created>
  <dcterms:modified xsi:type="dcterms:W3CDTF">2025-04-10T12:37:00Z</dcterms:modified>
</cp:coreProperties>
</file>